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FFE94C" w14:textId="77777777" w:rsidR="00505740" w:rsidRDefault="007F70B9" w:rsidP="00505740">
      <w:pPr>
        <w:spacing w:after="0"/>
        <w:ind w:left="-284" w:right="-448"/>
        <w:rPr>
          <w:b/>
          <w:sz w:val="28"/>
          <w:szCs w:val="28"/>
          <w:u w:val="single"/>
        </w:rPr>
      </w:pPr>
      <w:r w:rsidRPr="00505740">
        <w:rPr>
          <w:b/>
          <w:sz w:val="28"/>
          <w:szCs w:val="28"/>
          <w:u w:val="single"/>
        </w:rPr>
        <w:t xml:space="preserve">Interim Rates Notice </w:t>
      </w:r>
      <w:r w:rsidR="00ED37A6">
        <w:rPr>
          <w:b/>
          <w:sz w:val="28"/>
          <w:szCs w:val="28"/>
          <w:u w:val="single"/>
        </w:rPr>
        <w:t xml:space="preserve">(WA) </w:t>
      </w:r>
      <w:r w:rsidR="0093041B" w:rsidRPr="00505740">
        <w:rPr>
          <w:b/>
          <w:sz w:val="28"/>
          <w:szCs w:val="28"/>
          <w:u w:val="single"/>
        </w:rPr>
        <w:t>Action Definition</w:t>
      </w:r>
    </w:p>
    <w:p w14:paraId="29A5DAF5" w14:textId="77777777" w:rsidR="00505740" w:rsidRDefault="00505740" w:rsidP="00505740">
      <w:pPr>
        <w:ind w:left="-284" w:right="-449"/>
        <w:rPr>
          <w:sz w:val="24"/>
          <w:szCs w:val="24"/>
        </w:rPr>
      </w:pPr>
      <w:r w:rsidRPr="00D330B0">
        <w:rPr>
          <w:sz w:val="24"/>
          <w:szCs w:val="24"/>
        </w:rPr>
        <w:t xml:space="preserve">This action </w:t>
      </w:r>
      <w:r>
        <w:rPr>
          <w:sz w:val="24"/>
          <w:szCs w:val="24"/>
        </w:rPr>
        <w:t>definition describes the process for Processing and Paying an Interim Rates Notice.</w:t>
      </w:r>
    </w:p>
    <w:tbl>
      <w:tblPr>
        <w:tblStyle w:val="TableGrid"/>
        <w:tblpPr w:leftFromText="180" w:rightFromText="180" w:vertAnchor="text" w:horzAnchor="margin" w:tblpX="-176" w:tblpY="1"/>
        <w:tblW w:w="5211" w:type="dxa"/>
        <w:tblLook w:val="04A0" w:firstRow="1" w:lastRow="0" w:firstColumn="1" w:lastColumn="0" w:noHBand="0" w:noVBand="1"/>
      </w:tblPr>
      <w:tblGrid>
        <w:gridCol w:w="3369"/>
        <w:gridCol w:w="1842"/>
      </w:tblGrid>
      <w:tr w:rsidR="00505740" w:rsidRPr="009328B3" w14:paraId="7E4E2B91" w14:textId="77777777" w:rsidTr="00C85E2E">
        <w:tc>
          <w:tcPr>
            <w:tcW w:w="3369" w:type="dxa"/>
          </w:tcPr>
          <w:p w14:paraId="5ACDB461" w14:textId="77777777" w:rsidR="00505740" w:rsidRPr="009328B3" w:rsidRDefault="00505740" w:rsidP="00C85E2E">
            <w:pPr>
              <w:rPr>
                <w:sz w:val="24"/>
                <w:szCs w:val="24"/>
              </w:rPr>
            </w:pPr>
            <w:r w:rsidRPr="009328B3">
              <w:rPr>
                <w:sz w:val="24"/>
                <w:szCs w:val="24"/>
              </w:rPr>
              <w:t>Editable Content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14:paraId="208DE31A" w14:textId="77777777" w:rsidR="00505740" w:rsidRPr="009328B3" w:rsidRDefault="00505740" w:rsidP="00C85E2E">
            <w:pPr>
              <w:rPr>
                <w:sz w:val="24"/>
                <w:szCs w:val="24"/>
              </w:rPr>
            </w:pPr>
          </w:p>
        </w:tc>
      </w:tr>
    </w:tbl>
    <w:p w14:paraId="17EA52B0" w14:textId="77777777" w:rsidR="00505740" w:rsidRDefault="00505740" w:rsidP="00505740">
      <w:pPr>
        <w:spacing w:after="0"/>
        <w:ind w:left="-284" w:right="-166"/>
        <w:rPr>
          <w:sz w:val="24"/>
          <w:szCs w:val="24"/>
        </w:rPr>
      </w:pPr>
    </w:p>
    <w:p w14:paraId="1372EAE7" w14:textId="77777777" w:rsidR="00505740" w:rsidRDefault="00505740" w:rsidP="00092044">
      <w:pPr>
        <w:spacing w:after="0"/>
        <w:ind w:left="-284" w:right="-449"/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3403"/>
        <w:gridCol w:w="7796"/>
      </w:tblGrid>
      <w:tr w:rsidR="00B340AC" w:rsidRPr="00F93374" w14:paraId="36141B6C" w14:textId="77777777" w:rsidTr="00A33A0B">
        <w:tc>
          <w:tcPr>
            <w:tcW w:w="11199" w:type="dxa"/>
            <w:gridSpan w:val="2"/>
            <w:shd w:val="pct15" w:color="auto" w:fill="auto"/>
          </w:tcPr>
          <w:p w14:paraId="3AAA65E7" w14:textId="77777777" w:rsidR="00B340AC" w:rsidRPr="00F93374" w:rsidRDefault="00B340AC" w:rsidP="00C30241">
            <w:pPr>
              <w:jc w:val="center"/>
              <w:rPr>
                <w:b/>
                <w:sz w:val="24"/>
                <w:szCs w:val="24"/>
              </w:rPr>
            </w:pPr>
            <w:r w:rsidRPr="00F93374">
              <w:rPr>
                <w:b/>
                <w:sz w:val="24"/>
                <w:szCs w:val="24"/>
              </w:rPr>
              <w:t xml:space="preserve">Action </w:t>
            </w:r>
            <w:r w:rsidR="00C30241" w:rsidRPr="00F93374">
              <w:rPr>
                <w:b/>
                <w:sz w:val="24"/>
                <w:szCs w:val="24"/>
              </w:rPr>
              <w:t>Trigger</w:t>
            </w:r>
          </w:p>
        </w:tc>
      </w:tr>
      <w:tr w:rsidR="00212C49" w:rsidRPr="00D330B0" w14:paraId="093FD34D" w14:textId="77777777" w:rsidTr="0085688F">
        <w:tc>
          <w:tcPr>
            <w:tcW w:w="3403" w:type="dxa"/>
          </w:tcPr>
          <w:p w14:paraId="3C6CC32B" w14:textId="77777777" w:rsidR="00212C49" w:rsidRDefault="00212C49" w:rsidP="007E68D0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Asset Type</w:t>
            </w:r>
          </w:p>
        </w:tc>
        <w:tc>
          <w:tcPr>
            <w:tcW w:w="7796" w:type="dxa"/>
            <w:shd w:val="clear" w:color="auto" w:fill="D6E3BC" w:themeFill="accent3" w:themeFillTint="66"/>
          </w:tcPr>
          <w:p w14:paraId="338826A8" w14:textId="77777777" w:rsidR="00212C49" w:rsidRDefault="00212C49" w:rsidP="00505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Tenement</w:t>
            </w:r>
          </w:p>
        </w:tc>
      </w:tr>
      <w:tr w:rsidR="004E25E9" w:rsidRPr="00D330B0" w14:paraId="054507B4" w14:textId="77777777" w:rsidTr="0085688F">
        <w:tc>
          <w:tcPr>
            <w:tcW w:w="3403" w:type="dxa"/>
          </w:tcPr>
          <w:p w14:paraId="7099E366" w14:textId="77777777" w:rsidR="004E25E9" w:rsidRPr="00D330B0" w:rsidRDefault="004E25E9" w:rsidP="00212C49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Action </w:t>
            </w:r>
            <w:r w:rsidR="00212C49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7796" w:type="dxa"/>
            <w:shd w:val="clear" w:color="auto" w:fill="D6E3BC" w:themeFill="accent3" w:themeFillTint="66"/>
          </w:tcPr>
          <w:p w14:paraId="5AB5A342" w14:textId="77777777" w:rsidR="004E25E9" w:rsidRPr="00D330B0" w:rsidRDefault="007F70B9" w:rsidP="00505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Interim Rates Notice</w:t>
            </w:r>
          </w:p>
        </w:tc>
      </w:tr>
      <w:tr w:rsidR="004E25E9" w:rsidRPr="00D330B0" w14:paraId="232B3EC8" w14:textId="77777777" w:rsidTr="0085688F">
        <w:tc>
          <w:tcPr>
            <w:tcW w:w="3403" w:type="dxa"/>
          </w:tcPr>
          <w:p w14:paraId="44452702" w14:textId="77777777" w:rsidR="004E25E9" w:rsidRPr="00D330B0" w:rsidRDefault="004E25E9" w:rsidP="00984474">
            <w:pPr>
              <w:jc w:val="right"/>
              <w:rPr>
                <w:sz w:val="24"/>
                <w:szCs w:val="24"/>
              </w:rPr>
            </w:pPr>
            <w:r w:rsidRPr="00D330B0">
              <w:rPr>
                <w:b/>
                <w:sz w:val="24"/>
                <w:szCs w:val="24"/>
              </w:rPr>
              <w:t>Precondition</w:t>
            </w:r>
          </w:p>
        </w:tc>
        <w:tc>
          <w:tcPr>
            <w:tcW w:w="7796" w:type="dxa"/>
            <w:shd w:val="clear" w:color="auto" w:fill="D6E3BC" w:themeFill="accent3" w:themeFillTint="66"/>
          </w:tcPr>
          <w:p w14:paraId="2BF64E6C" w14:textId="77777777" w:rsidR="004E25E9" w:rsidRPr="00441A77" w:rsidRDefault="00742E9C" w:rsidP="00505740">
            <w:pPr>
              <w:tabs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{</w:t>
            </w:r>
            <w:r w:rsidR="00D213FE">
              <w:rPr>
                <w:sz w:val="24"/>
                <w:szCs w:val="24"/>
              </w:rPr>
              <w:t>s</w:t>
            </w:r>
            <w:r w:rsidR="004E25E9" w:rsidRPr="00441A77">
              <w:rPr>
                <w:sz w:val="24"/>
                <w:szCs w:val="24"/>
              </w:rPr>
              <w:t>tatus</w:t>
            </w:r>
            <w:r w:rsidR="00D41A33">
              <w:rPr>
                <w:sz w:val="24"/>
                <w:szCs w:val="24"/>
              </w:rPr>
              <w:t>}</w:t>
            </w:r>
            <w:r w:rsidR="004E25E9" w:rsidRPr="00441A77">
              <w:rPr>
                <w:sz w:val="24"/>
                <w:szCs w:val="24"/>
              </w:rPr>
              <w:t xml:space="preserve"> = Live</w:t>
            </w:r>
          </w:p>
        </w:tc>
      </w:tr>
      <w:tr w:rsidR="004E25E9" w:rsidRPr="00D330B0" w14:paraId="1B7AE795" w14:textId="77777777" w:rsidTr="0085688F">
        <w:tc>
          <w:tcPr>
            <w:tcW w:w="3403" w:type="dxa"/>
          </w:tcPr>
          <w:p w14:paraId="4D144550" w14:textId="77777777" w:rsidR="004E25E9" w:rsidRPr="00D330B0" w:rsidRDefault="00D93FD5" w:rsidP="00984474">
            <w:pPr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Interval</w:t>
            </w:r>
          </w:p>
        </w:tc>
        <w:tc>
          <w:tcPr>
            <w:tcW w:w="7796" w:type="dxa"/>
            <w:shd w:val="clear" w:color="auto" w:fill="D6E3BC" w:themeFill="accent3" w:themeFillTint="66"/>
          </w:tcPr>
          <w:p w14:paraId="1DB3F2EB" w14:textId="77777777" w:rsidR="004E25E9" w:rsidRPr="00D330B0" w:rsidRDefault="00106C9A" w:rsidP="00505740">
            <w:pPr>
              <w:tabs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 Demand</w:t>
            </w:r>
          </w:p>
        </w:tc>
      </w:tr>
    </w:tbl>
    <w:p w14:paraId="6B0E0239" w14:textId="77777777" w:rsidR="0093041B" w:rsidRDefault="0085688F" w:rsidP="00505740">
      <w:pPr>
        <w:spacing w:after="240"/>
        <w:rPr>
          <w:i/>
          <w:sz w:val="18"/>
          <w:szCs w:val="18"/>
        </w:rPr>
      </w:pPr>
      <w:r w:rsidRPr="00720331">
        <w:rPr>
          <w:i/>
          <w:sz w:val="18"/>
          <w:szCs w:val="18"/>
          <w:u w:val="single"/>
        </w:rPr>
        <w:t>Note</w:t>
      </w:r>
      <w:r w:rsidRPr="00720331">
        <w:rPr>
          <w:i/>
          <w:sz w:val="18"/>
          <w:szCs w:val="18"/>
        </w:rPr>
        <w:t>: The Action Trigger defines the logic of the Action. The Deadline is the latest date by which the Action can be completed.</w:t>
      </w: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7939"/>
        <w:gridCol w:w="3260"/>
      </w:tblGrid>
      <w:tr w:rsidR="008E2879" w:rsidRPr="00F93374" w14:paraId="055D8E66" w14:textId="77777777" w:rsidTr="00A33A0B">
        <w:tc>
          <w:tcPr>
            <w:tcW w:w="11199" w:type="dxa"/>
            <w:gridSpan w:val="2"/>
            <w:shd w:val="pct15" w:color="auto" w:fill="auto"/>
          </w:tcPr>
          <w:p w14:paraId="13783387" w14:textId="77777777" w:rsidR="008E2879" w:rsidRPr="00F93374" w:rsidRDefault="0085688F" w:rsidP="006B65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Task List</w:t>
            </w:r>
          </w:p>
        </w:tc>
      </w:tr>
      <w:tr w:rsidR="00441A77" w:rsidRPr="001B5FFA" w14:paraId="54677297" w14:textId="77777777" w:rsidTr="00505740">
        <w:tc>
          <w:tcPr>
            <w:tcW w:w="7939" w:type="dxa"/>
            <w:shd w:val="clear" w:color="auto" w:fill="D9D9D9" w:themeFill="background1" w:themeFillShade="D9"/>
          </w:tcPr>
          <w:p w14:paraId="712C960D" w14:textId="77777777" w:rsidR="00441A77" w:rsidRPr="001B5FFA" w:rsidRDefault="00441A77" w:rsidP="006B65FD">
            <w:pPr>
              <w:rPr>
                <w:sz w:val="24"/>
                <w:szCs w:val="24"/>
              </w:rPr>
            </w:pPr>
            <w:r w:rsidRPr="001B5FFA">
              <w:rPr>
                <w:b/>
                <w:sz w:val="24"/>
                <w:szCs w:val="24"/>
              </w:rPr>
              <w:t>Description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56855700" w14:textId="77777777" w:rsidR="00441A77" w:rsidRPr="001B5FFA" w:rsidRDefault="001B07C7" w:rsidP="0085688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Days Needed</w:t>
            </w:r>
            <w:r w:rsidR="0085688F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Before Deadline</w:t>
            </w:r>
          </w:p>
        </w:tc>
      </w:tr>
      <w:tr w:rsidR="006275EC" w14:paraId="4DBE15B7" w14:textId="77777777" w:rsidTr="00505740">
        <w:tc>
          <w:tcPr>
            <w:tcW w:w="7939" w:type="dxa"/>
            <w:shd w:val="clear" w:color="auto" w:fill="D6E3BC" w:themeFill="accent3" w:themeFillTint="66"/>
          </w:tcPr>
          <w:p w14:paraId="1FA3F1A9" w14:textId="77777777" w:rsidR="006275EC" w:rsidRPr="00D330B0" w:rsidRDefault="007F70B9" w:rsidP="00505740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Confirm Notice Details</w:t>
            </w:r>
          </w:p>
        </w:tc>
        <w:tc>
          <w:tcPr>
            <w:tcW w:w="3260" w:type="dxa"/>
            <w:shd w:val="clear" w:color="auto" w:fill="D6E3BC" w:themeFill="accent3" w:themeFillTint="66"/>
          </w:tcPr>
          <w:p w14:paraId="6F7A9BF6" w14:textId="77777777" w:rsidR="006275EC" w:rsidRPr="003B5787" w:rsidRDefault="00C14E64" w:rsidP="00505740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14d</w:t>
            </w:r>
          </w:p>
        </w:tc>
      </w:tr>
      <w:tr w:rsidR="007422C4" w:rsidRPr="007422C4" w14:paraId="70AD7063" w14:textId="77777777" w:rsidTr="00505740">
        <w:tc>
          <w:tcPr>
            <w:tcW w:w="7939" w:type="dxa"/>
            <w:shd w:val="clear" w:color="auto" w:fill="D6E3BC" w:themeFill="accent3" w:themeFillTint="66"/>
          </w:tcPr>
          <w:p w14:paraId="1053F64F" w14:textId="77777777" w:rsidR="007422C4" w:rsidRPr="007422C4" w:rsidRDefault="007422C4" w:rsidP="007422C4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 w:rsidRPr="007422C4">
              <w:rPr>
                <w:sz w:val="24"/>
                <w:szCs w:val="24"/>
              </w:rPr>
              <w:t>Raise PR for Accounts Department</w:t>
            </w:r>
          </w:p>
        </w:tc>
        <w:tc>
          <w:tcPr>
            <w:tcW w:w="3260" w:type="dxa"/>
            <w:shd w:val="clear" w:color="auto" w:fill="D6E3BC" w:themeFill="accent3" w:themeFillTint="66"/>
          </w:tcPr>
          <w:p w14:paraId="001CEC9A" w14:textId="77777777" w:rsidR="007422C4" w:rsidRPr="007422C4" w:rsidRDefault="007422C4" w:rsidP="007422C4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 w:rsidRPr="007422C4">
              <w:rPr>
                <w:sz w:val="24"/>
                <w:szCs w:val="24"/>
              </w:rPr>
              <w:t>14d</w:t>
            </w:r>
          </w:p>
        </w:tc>
      </w:tr>
      <w:tr w:rsidR="00C14E64" w14:paraId="36B18061" w14:textId="77777777" w:rsidTr="00505740">
        <w:tc>
          <w:tcPr>
            <w:tcW w:w="7939" w:type="dxa"/>
            <w:shd w:val="clear" w:color="auto" w:fill="D6E3BC" w:themeFill="accent3" w:themeFillTint="66"/>
          </w:tcPr>
          <w:p w14:paraId="48BD78C2" w14:textId="77777777" w:rsidR="00C14E64" w:rsidRDefault="007F70B9" w:rsidP="00505740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Pay Notice</w:t>
            </w:r>
          </w:p>
        </w:tc>
        <w:tc>
          <w:tcPr>
            <w:tcW w:w="3260" w:type="dxa"/>
            <w:shd w:val="clear" w:color="auto" w:fill="D6E3BC" w:themeFill="accent3" w:themeFillTint="66"/>
          </w:tcPr>
          <w:p w14:paraId="27CE76D5" w14:textId="77777777" w:rsidR="00C14E64" w:rsidRDefault="00C14E64" w:rsidP="00505740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3d</w:t>
            </w:r>
          </w:p>
        </w:tc>
      </w:tr>
      <w:tr w:rsidR="00505740" w14:paraId="58B37D68" w14:textId="77777777" w:rsidTr="00505740">
        <w:tc>
          <w:tcPr>
            <w:tcW w:w="7939" w:type="dxa"/>
            <w:shd w:val="clear" w:color="auto" w:fill="D6E3BC" w:themeFill="accent3" w:themeFillTint="66"/>
          </w:tcPr>
          <w:p w14:paraId="5296C927" w14:textId="77777777" w:rsidR="00505740" w:rsidRDefault="00505740" w:rsidP="00505740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D6E3BC" w:themeFill="accent3" w:themeFillTint="66"/>
          </w:tcPr>
          <w:p w14:paraId="7DAFB4AE" w14:textId="77777777" w:rsidR="00505740" w:rsidRDefault="00505740" w:rsidP="00505740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</w:tbl>
    <w:p w14:paraId="78DEE4E8" w14:textId="77777777" w:rsidR="00184150" w:rsidRPr="00720331" w:rsidRDefault="00184150" w:rsidP="00184150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  <w:r w:rsidRPr="00720331">
        <w:rPr>
          <w:i/>
          <w:sz w:val="18"/>
          <w:szCs w:val="18"/>
          <w:u w:val="single"/>
        </w:rPr>
        <w:t>Note</w:t>
      </w:r>
      <w:r w:rsidRPr="00720331">
        <w:rPr>
          <w:i/>
          <w:sz w:val="18"/>
          <w:szCs w:val="18"/>
        </w:rPr>
        <w:t xml:space="preserve">: </w:t>
      </w:r>
      <w:r w:rsidR="00CD1B58">
        <w:rPr>
          <w:i/>
          <w:sz w:val="18"/>
          <w:szCs w:val="18"/>
        </w:rPr>
        <w:t>Task List</w:t>
      </w:r>
      <w:r w:rsidRPr="00720331">
        <w:rPr>
          <w:i/>
          <w:sz w:val="18"/>
          <w:szCs w:val="18"/>
        </w:rPr>
        <w:t xml:space="preserve"> items define the Action Status and will have their own trigger dates based on the Days Needed Before the Deadline. </w:t>
      </w:r>
      <w:r w:rsidR="00CD1B58">
        <w:rPr>
          <w:i/>
          <w:sz w:val="18"/>
          <w:szCs w:val="18"/>
        </w:rPr>
        <w:t>Task List</w:t>
      </w:r>
      <w:r w:rsidRPr="00720331">
        <w:rPr>
          <w:i/>
          <w:sz w:val="18"/>
          <w:szCs w:val="18"/>
        </w:rPr>
        <w:t xml:space="preserve"> items negate the need for separate follow up Actions.  You may add in as many </w:t>
      </w:r>
      <w:r w:rsidR="00CD1B58">
        <w:rPr>
          <w:i/>
          <w:sz w:val="18"/>
          <w:szCs w:val="18"/>
        </w:rPr>
        <w:t>Task List</w:t>
      </w:r>
      <w:r w:rsidRPr="00720331">
        <w:rPr>
          <w:i/>
          <w:sz w:val="18"/>
          <w:szCs w:val="18"/>
        </w:rPr>
        <w:t xml:space="preserve"> items as you wish. If a </w:t>
      </w:r>
      <w:r w:rsidR="00CD1B58">
        <w:rPr>
          <w:i/>
          <w:sz w:val="18"/>
          <w:szCs w:val="18"/>
        </w:rPr>
        <w:t>Task List</w:t>
      </w:r>
      <w:r w:rsidRPr="00720331">
        <w:rPr>
          <w:i/>
          <w:sz w:val="18"/>
          <w:szCs w:val="18"/>
        </w:rPr>
        <w:t xml:space="preserve"> item has no Days Needed Before Deadline entered then it will default to the previous </w:t>
      </w:r>
      <w:r w:rsidR="00CD1B58">
        <w:rPr>
          <w:i/>
          <w:sz w:val="18"/>
          <w:szCs w:val="18"/>
        </w:rPr>
        <w:t>Task List</w:t>
      </w:r>
      <w:r w:rsidRPr="00720331">
        <w:rPr>
          <w:i/>
          <w:sz w:val="18"/>
          <w:szCs w:val="18"/>
        </w:rPr>
        <w:t xml:space="preserve"> item Days Needed Before Deadline.</w:t>
      </w:r>
    </w:p>
    <w:p w14:paraId="10D3E9AC" w14:textId="77777777" w:rsidR="002E7D7C" w:rsidRDefault="0093041B" w:rsidP="007F70B9">
      <w:pPr>
        <w:spacing w:after="0" w:line="240" w:lineRule="auto"/>
        <w:ind w:left="-142"/>
        <w:rPr>
          <w:b/>
          <w:sz w:val="24"/>
          <w:szCs w:val="24"/>
        </w:rPr>
      </w:pPr>
      <w:r w:rsidRPr="002B602D">
        <w:rPr>
          <w:b/>
          <w:sz w:val="24"/>
          <w:szCs w:val="24"/>
        </w:rPr>
        <w:t xml:space="preserve">How to </w:t>
      </w:r>
      <w:r w:rsidR="007F70B9">
        <w:rPr>
          <w:b/>
          <w:sz w:val="24"/>
          <w:szCs w:val="24"/>
        </w:rPr>
        <w:t>Pay:</w:t>
      </w:r>
    </w:p>
    <w:p w14:paraId="3248A9D8" w14:textId="77777777" w:rsidR="007F70B9" w:rsidRPr="007F70B9" w:rsidRDefault="007F70B9" w:rsidP="007F70B9">
      <w:pPr>
        <w:spacing w:after="0" w:line="240" w:lineRule="auto"/>
        <w:ind w:left="-142"/>
        <w:rPr>
          <w:sz w:val="24"/>
          <w:szCs w:val="24"/>
        </w:rPr>
      </w:pPr>
      <w:r>
        <w:rPr>
          <w:sz w:val="24"/>
          <w:szCs w:val="24"/>
        </w:rPr>
        <w:t>Most councils allow credit card payments or BPAY.</w:t>
      </w:r>
    </w:p>
    <w:p w14:paraId="28A8A181" w14:textId="77777777" w:rsidR="004512C5" w:rsidRDefault="004512C5" w:rsidP="009176AF">
      <w:pPr>
        <w:tabs>
          <w:tab w:val="left" w:pos="1418"/>
          <w:tab w:val="left" w:pos="4111"/>
        </w:tabs>
        <w:spacing w:after="80" w:line="240" w:lineRule="auto"/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1409"/>
        <w:gridCol w:w="1129"/>
        <w:gridCol w:w="8661"/>
      </w:tblGrid>
      <w:tr w:rsidR="00151F73" w14:paraId="712C917F" w14:textId="77777777" w:rsidTr="00151F73"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46B38CC7" w14:textId="77777777" w:rsidR="00151F73" w:rsidRDefault="00863E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 History</w:t>
            </w:r>
          </w:p>
        </w:tc>
      </w:tr>
      <w:tr w:rsidR="00151F73" w14:paraId="6084B378" w14:textId="77777777" w:rsidTr="00371CE2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5D6A1DB" w14:textId="77777777" w:rsidR="00151F73" w:rsidRDefault="00C124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60C3DFB" w14:textId="77777777" w:rsidR="00151F73" w:rsidRDefault="00C124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Version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EB27D7B" w14:textId="77777777" w:rsidR="00151F73" w:rsidRDefault="00151F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Changes</w:t>
            </w:r>
          </w:p>
        </w:tc>
      </w:tr>
      <w:tr w:rsidR="00371CE2" w14:paraId="002C06B2" w14:textId="77777777" w:rsidTr="00371CE2">
        <w:trPr>
          <w:trHeight w:val="279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EFFD" w14:textId="42BB859F" w:rsidR="00371CE2" w:rsidRDefault="00C71ADA" w:rsidP="00371CE2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10/10/2024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9E3E" w14:textId="6595AE1E" w:rsidR="00371CE2" w:rsidRDefault="00C71ADA" w:rsidP="00371CE2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1.6.0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887D" w14:textId="25297FDA" w:rsidR="00371CE2" w:rsidRDefault="00C71ADA" w:rsidP="00371CE2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Removed custom fields and </w:t>
            </w:r>
            <w:r w:rsidR="00887D12">
              <w:rPr>
                <w:sz w:val="24"/>
                <w:szCs w:val="24"/>
              </w:rPr>
              <w:t>wiki links.</w:t>
            </w:r>
          </w:p>
        </w:tc>
      </w:tr>
      <w:tr w:rsidR="00C71ADA" w14:paraId="0474B7C4" w14:textId="77777777" w:rsidTr="00371CE2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81A1" w14:textId="5D1A9B99" w:rsidR="00C71ADA" w:rsidRDefault="00C71ADA" w:rsidP="00C71ADA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27/11/2019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C259" w14:textId="60D02C86" w:rsidR="00C71ADA" w:rsidRDefault="00C71ADA" w:rsidP="00C71ADA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1.5.0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B5CA" w14:textId="2D48F8C2" w:rsidR="00C71ADA" w:rsidRDefault="00C71ADA" w:rsidP="00C71ADA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Removed Deadline row from Action Trigger table, as this is not used by On Demand actions</w:t>
            </w:r>
          </w:p>
        </w:tc>
      </w:tr>
      <w:tr w:rsidR="00C71ADA" w14:paraId="4A5000FA" w14:textId="77777777" w:rsidTr="00371CE2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8238" w14:textId="637BE96A" w:rsidR="00C71ADA" w:rsidRDefault="00C71ADA" w:rsidP="00C71ADA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27/08/2019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51AB" w14:textId="23B67787" w:rsidR="00C71ADA" w:rsidRDefault="00C71ADA" w:rsidP="00C71ADA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1.4.0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F738" w14:textId="2A143EBA" w:rsidR="00C71ADA" w:rsidRDefault="00C71ADA" w:rsidP="00C71ADA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Removed Custom Fields as no longer required</w:t>
            </w:r>
          </w:p>
        </w:tc>
      </w:tr>
      <w:tr w:rsidR="00C71ADA" w14:paraId="4F9B0551" w14:textId="77777777" w:rsidTr="00371CE2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444B" w14:textId="65B72063" w:rsidR="00C71ADA" w:rsidRDefault="00C71ADA" w:rsidP="00C71ADA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30/08/2016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EA67" w14:textId="3D62665C" w:rsidR="00C71ADA" w:rsidRDefault="00C71ADA" w:rsidP="00C71ADA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1.3.0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66AF" w14:textId="02FD9C96" w:rsidR="00C71ADA" w:rsidRDefault="00C71ADA" w:rsidP="00C71ADA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 Fields added to allow fields from Assets to be displayed in Actions</w:t>
            </w:r>
          </w:p>
        </w:tc>
      </w:tr>
    </w:tbl>
    <w:p w14:paraId="0927C1AE" w14:textId="77777777" w:rsidR="00151F73" w:rsidRDefault="00151F73" w:rsidP="00151F73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</w:p>
    <w:p w14:paraId="553DEE1A" w14:textId="77777777" w:rsidR="006A3414" w:rsidRDefault="006A3414" w:rsidP="00AF75C1"/>
    <w:sectPr w:rsidR="006A3414" w:rsidSect="00B340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0352EF" w14:textId="77777777" w:rsidR="00A01E43" w:rsidRDefault="00A01E43" w:rsidP="00AF75C1">
      <w:pPr>
        <w:spacing w:after="0" w:line="240" w:lineRule="auto"/>
      </w:pPr>
      <w:r>
        <w:separator/>
      </w:r>
    </w:p>
  </w:endnote>
  <w:endnote w:type="continuationSeparator" w:id="0">
    <w:p w14:paraId="3ACA0F28" w14:textId="77777777" w:rsidR="00A01E43" w:rsidRDefault="00A01E43" w:rsidP="00AF7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E436A2" w14:textId="77777777" w:rsidR="00A01E43" w:rsidRDefault="00A01E43" w:rsidP="00AF75C1">
      <w:pPr>
        <w:spacing w:after="0" w:line="240" w:lineRule="auto"/>
      </w:pPr>
      <w:r>
        <w:separator/>
      </w:r>
    </w:p>
  </w:footnote>
  <w:footnote w:type="continuationSeparator" w:id="0">
    <w:p w14:paraId="0EC3BA3A" w14:textId="77777777" w:rsidR="00A01E43" w:rsidRDefault="00A01E43" w:rsidP="00AF75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C1A36"/>
    <w:multiLevelType w:val="hybridMultilevel"/>
    <w:tmpl w:val="8D42C2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6694B"/>
    <w:multiLevelType w:val="hybridMultilevel"/>
    <w:tmpl w:val="7556CE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4768731">
    <w:abstractNumId w:val="1"/>
  </w:num>
  <w:num w:numId="2" w16cid:durableId="126625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40AC"/>
    <w:rsid w:val="0000432E"/>
    <w:rsid w:val="00073E2E"/>
    <w:rsid w:val="00092044"/>
    <w:rsid w:val="000C7037"/>
    <w:rsid w:val="000F0C7B"/>
    <w:rsid w:val="00106C9A"/>
    <w:rsid w:val="00151F73"/>
    <w:rsid w:val="00153B19"/>
    <w:rsid w:val="00173393"/>
    <w:rsid w:val="00184150"/>
    <w:rsid w:val="001B07C7"/>
    <w:rsid w:val="001C545E"/>
    <w:rsid w:val="001D7733"/>
    <w:rsid w:val="001F4B37"/>
    <w:rsid w:val="00206473"/>
    <w:rsid w:val="00212C49"/>
    <w:rsid w:val="00271B2B"/>
    <w:rsid w:val="00280162"/>
    <w:rsid w:val="002967A8"/>
    <w:rsid w:val="002B602D"/>
    <w:rsid w:val="002D7E2E"/>
    <w:rsid w:val="002E7D7C"/>
    <w:rsid w:val="00305C74"/>
    <w:rsid w:val="0031442C"/>
    <w:rsid w:val="00323285"/>
    <w:rsid w:val="003522BF"/>
    <w:rsid w:val="0035472F"/>
    <w:rsid w:val="00371CE2"/>
    <w:rsid w:val="00385DD1"/>
    <w:rsid w:val="003E0486"/>
    <w:rsid w:val="003E48AE"/>
    <w:rsid w:val="00441A77"/>
    <w:rsid w:val="004512C5"/>
    <w:rsid w:val="00475FE7"/>
    <w:rsid w:val="004D5989"/>
    <w:rsid w:val="004E25E9"/>
    <w:rsid w:val="004F5EEC"/>
    <w:rsid w:val="00505740"/>
    <w:rsid w:val="005912F5"/>
    <w:rsid w:val="006275EC"/>
    <w:rsid w:val="006A3414"/>
    <w:rsid w:val="007422C4"/>
    <w:rsid w:val="00742E9C"/>
    <w:rsid w:val="007440B1"/>
    <w:rsid w:val="00787311"/>
    <w:rsid w:val="007C01DD"/>
    <w:rsid w:val="007F17AC"/>
    <w:rsid w:val="007F70B9"/>
    <w:rsid w:val="0082258E"/>
    <w:rsid w:val="00835272"/>
    <w:rsid w:val="0085688F"/>
    <w:rsid w:val="00860287"/>
    <w:rsid w:val="00863E07"/>
    <w:rsid w:val="00880018"/>
    <w:rsid w:val="00887D12"/>
    <w:rsid w:val="008E2879"/>
    <w:rsid w:val="009176AF"/>
    <w:rsid w:val="0093041B"/>
    <w:rsid w:val="009D41AB"/>
    <w:rsid w:val="00A01E43"/>
    <w:rsid w:val="00A2575E"/>
    <w:rsid w:val="00A308DA"/>
    <w:rsid w:val="00A33A0B"/>
    <w:rsid w:val="00A35672"/>
    <w:rsid w:val="00AF75C1"/>
    <w:rsid w:val="00B062D7"/>
    <w:rsid w:val="00B340AC"/>
    <w:rsid w:val="00C124C0"/>
    <w:rsid w:val="00C14E64"/>
    <w:rsid w:val="00C21A3D"/>
    <w:rsid w:val="00C30241"/>
    <w:rsid w:val="00C420AA"/>
    <w:rsid w:val="00C656BE"/>
    <w:rsid w:val="00C71ADA"/>
    <w:rsid w:val="00CD1B58"/>
    <w:rsid w:val="00CD61CA"/>
    <w:rsid w:val="00D03057"/>
    <w:rsid w:val="00D213FE"/>
    <w:rsid w:val="00D314AD"/>
    <w:rsid w:val="00D41A33"/>
    <w:rsid w:val="00D439C4"/>
    <w:rsid w:val="00D4513F"/>
    <w:rsid w:val="00D568B4"/>
    <w:rsid w:val="00D93FD5"/>
    <w:rsid w:val="00DB5532"/>
    <w:rsid w:val="00E75C6E"/>
    <w:rsid w:val="00EB6089"/>
    <w:rsid w:val="00ED37A6"/>
    <w:rsid w:val="00F03540"/>
    <w:rsid w:val="00F75E64"/>
    <w:rsid w:val="00F92056"/>
    <w:rsid w:val="00F93374"/>
    <w:rsid w:val="00FC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892C2"/>
  <w15:docId w15:val="{710676AF-17AC-4AF6-8F88-563C76F12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0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40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7733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F75C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F75C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F75C1"/>
    <w:rPr>
      <w:vertAlign w:val="superscript"/>
    </w:rPr>
  </w:style>
  <w:style w:type="paragraph" w:customStyle="1" w:styleId="TextFieldStyle">
    <w:name w:val="Text Field Style"/>
    <w:basedOn w:val="Normal"/>
    <w:link w:val="TextFieldStyleChar"/>
    <w:qFormat/>
    <w:rsid w:val="00505740"/>
    <w:pPr>
      <w:spacing w:after="0" w:line="240" w:lineRule="auto"/>
    </w:pPr>
    <w:rPr>
      <w:rFonts w:ascii="Corbel" w:hAnsi="Corbel"/>
      <w:sz w:val="24"/>
    </w:rPr>
  </w:style>
  <w:style w:type="character" w:customStyle="1" w:styleId="TextFieldStyleChar">
    <w:name w:val="Text Field Style Char"/>
    <w:basedOn w:val="DefaultParagraphFont"/>
    <w:link w:val="TextFieldStyle"/>
    <w:rsid w:val="00505740"/>
    <w:rPr>
      <w:rFonts w:ascii="Corbel" w:hAnsi="Corbe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01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dbde0a-845d-4275-8127-92e8b7ee961d" xsi:nil="true"/>
    <lcf76f155ced4ddcb4097134ff3c332f xmlns="3535d052-4094-4dbb-ab3a-75fae3b2e89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CBA4D6AA254E4481DE11F6F4B1510A" ma:contentTypeVersion="15" ma:contentTypeDescription="Create a new document." ma:contentTypeScope="" ma:versionID="dca4d6f990e87a2119e9189d9ecc22e0">
  <xsd:schema xmlns:xsd="http://www.w3.org/2001/XMLSchema" xmlns:xs="http://www.w3.org/2001/XMLSchema" xmlns:p="http://schemas.microsoft.com/office/2006/metadata/properties" xmlns:ns2="3535d052-4094-4dbb-ab3a-75fae3b2e899" xmlns:ns3="d2dbde0a-845d-4275-8127-92e8b7ee961d" targetNamespace="http://schemas.microsoft.com/office/2006/metadata/properties" ma:root="true" ma:fieldsID="16c8448e07cd0a9a0177884bc52c6f0f" ns2:_="" ns3:_="">
    <xsd:import namespace="3535d052-4094-4dbb-ab3a-75fae3b2e899"/>
    <xsd:import namespace="d2dbde0a-845d-4275-8127-92e8b7ee96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5d052-4094-4dbb-ab3a-75fae3b2e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ac4ccf3-261e-4dd6-9228-da83360970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bde0a-845d-4275-8127-92e8b7ee961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cb06b81-249b-4c12-8136-5ac575b15ba1}" ma:internalName="TaxCatchAll" ma:showField="CatchAllData" ma:web="d2dbde0a-845d-4275-8127-92e8b7ee96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05910-AFDD-43F4-9476-A7BD5D4B4DF6}">
  <ds:schemaRefs>
    <ds:schemaRef ds:uri="http://schemas.microsoft.com/office/2006/metadata/properties"/>
    <ds:schemaRef ds:uri="http://schemas.microsoft.com/office/infopath/2007/PartnerControls"/>
    <ds:schemaRef ds:uri="d2dbde0a-845d-4275-8127-92e8b7ee961d"/>
    <ds:schemaRef ds:uri="3535d052-4094-4dbb-ab3a-75fae3b2e899"/>
  </ds:schemaRefs>
</ds:datastoreItem>
</file>

<file path=customXml/itemProps2.xml><?xml version="1.0" encoding="utf-8"?>
<ds:datastoreItem xmlns:ds="http://schemas.openxmlformats.org/officeDocument/2006/customXml" ds:itemID="{AEE1E618-954B-46CB-92F2-FA590FD694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781A5F-F449-42D6-BB82-64A7A91A05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5d052-4094-4dbb-ab3a-75fae3b2e899"/>
    <ds:schemaRef ds:uri="d2dbde0a-845d-4275-8127-92e8b7ee96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E01E65-DB6F-4312-B8D8-124917AE6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Burnett</dc:creator>
  <cp:lastModifiedBy>Annamarie Desfosses</cp:lastModifiedBy>
  <cp:revision>5</cp:revision>
  <cp:lastPrinted>2014-03-26T07:25:00Z</cp:lastPrinted>
  <dcterms:created xsi:type="dcterms:W3CDTF">2024-10-10T02:46:00Z</dcterms:created>
  <dcterms:modified xsi:type="dcterms:W3CDTF">2024-10-10T02:48:00Z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0x0101000ECBA4D6AA254E4481DE11F6F4B1510A</vt:lpwstr>
  </property>
  <property fmtid="{D5CDD505-2E9C-101B-9397-08002B2CF9AE}" pid="3" name="MediaServiceImageTags">
    <vt:lpwstr/>
  </property>
</Properties>
</file>